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June 2024</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June 10, 2024</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color w:val="000000"/>
          <w:rtl w:val="0"/>
        </w:rPr>
        <w:t xml:space="preserve">Library Meeting Room, 1051 North Ave. </w:t>
      </w:r>
      <w:r w:rsidDel="00000000" w:rsidR="00000000" w:rsidRPr="00000000">
        <w:rPr>
          <w:rtl w:val="0"/>
        </w:rPr>
      </w:r>
    </w:p>
    <w:p w:rsidR="00000000" w:rsidDel="00000000" w:rsidP="00000000" w:rsidRDefault="00000000" w:rsidRPr="00000000" w14:paraId="00000008">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4"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President Stephanie Farmer called the meeting to order at 6:30 p.m.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Madison Cohen, Stephanie Farmer, Lauren McMeans, Magdalena Reese, Sarah Smith, and Elizabeth Thompson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 Christi Olson, and Catherine Shook</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Others Present: City Manager Luke Nelson, Kathy Frits, Mary Henson, Robin Kingrey, Sonja Scott, and Richard Schreiber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suggested amending the agenda to table the Revenue &amp; Expense Report for July’s meeting as it is not ready due to the fiscal year wrapping up. It was also suggested to move new business items a, b, and c to follow Public Comments. Ms. Smith motioned to approve the agenda as amended; Ms. McMeans seconded, and the motion carried unanimously.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May Meeting Minutes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May Meeting Minutes were provided. Ms. McMeans motioned to approve the May Meeting Minutes; Mr. Clarke seconded, and the motion carried unanimously.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presented the bills to be paid for July 2024. Refunds were issued to patrons from Martensdale as the city of Martensdale is now contracting library services with St. Charles Public Library. Copy paper expenses are considered operating expenses which have increased with summer reading commencing. The Scribbles costume was sent out to be cleaned. Roll call vote followed:</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fbua1yz8mcxt"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Cohen – AYE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Farmer – AYE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Reese – AYE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Thompson – AYE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gjdgxs" w:id="1"/>
      <w:bookmarkEnd w:i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Revenue &amp; Expense Report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agenda item was tabled for July’s meeting.</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provided the Director’s report for June. Circulation and visitor numbers increased, but wireless sessions were down by 200. In gearing up for the summer reading program, outreach was strong with visits to schools and childcare centers. The summer reading kickoff event was a success with approximately 1,000 attendees. Ms. Farmer inquired about the 1000 Books Before Kindergarten initiative. Director Strable said Scribbles will be hosting a challenge later this year. Xcite Nutrition of Norwalk is partnering with the library by offering “li-berry” drinks with proceeds going to the Norwalk Easter Public Library Foundation. The Get Lit Book Club will be meeting at Court Avenue Restaurant &amp; Brewing to discuss the book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 Lager Queen of Minnesota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by J. Ryan Stradal and will hear a presentation on the brewing process.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was no old business.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Lingering Impacts from HF 718 – Update from City Manager Luke Nelson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City Manager Luke Nelson discussed the recent Mayor’s Moment article as found in the June edition of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Norwalk Living Magazine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Norwalk Mayor Tom Phillips writes about </w:t>
      </w:r>
      <w:hyperlink r:id="rId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House File 718</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how the bill is impacting the city budget significantly. Mr. Nelson presented various ways the city may adapt to potentially lessen the gap. Conversation ensued between guests, trustees, library staff, and Mr. Nelson to understand how this impacts the library and the community it serves.</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Norwalk Central Success – Update from City Manager Luke Nelson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Ms. McMeans motioned to table this agenda item and the following SW Growth Corridor Progress to a future meeting; Mr. Clarke seconded, and the motion passed unanimously.</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SW Growth Corridor Progress – update from City Manager Luke Nelson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See item 10b; this agenda item is tabled to a future meeting.</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FY25 Library Trustee Appointments and Leadership Roles (President &amp; Secretary)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Ms. Farmer, Ms. Reese, and Ms. Thompson all have terms expiring June 2024 and all have agreed to serve another six-year term. Ms. Smith volunteered to be president for FY25, and Ms. McMeans volunteered to be secretary for FY25. Ms. Cohen moved to accept the new appointments; Ms. Reese seconded, and the motion carried unanimously. </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FY 25 Staff Wages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Director Strable presented the increased staff wages for FY25 which begins July 1, 2024. Roll call vote followed:</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Cohen – AYE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Farmer – AYE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Reese – AYE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Thompson – AYE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Agenda Items for Future Meetings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Social Media Policy – update &amp; review</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Circulation Policy - update &amp; review</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 &amp; Announcements</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Director Updates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Booksale proceeds will be provided at the June 18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foundation meeting. There were two foundation directors who resigned. A new director was added with two more presented for voting. Ms. Cohen, Ms. Farmer, and Ms. Smith presented on topics such as the Trustees / Foundation roles and missions, new library frequently asked questions, the capital campaign, and NEPL usage statistics. The importance of advocating for a new library was also shared. Ms. Farmer suggested creating an onboarding packet for oncoming foundation directors and foster two-way communication between the Board of Trustees and Foundation Board. The capital campaign subcommittee has scheduled an interview on June 14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with one of the firms that provided a proposal.</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Ms. McMeans is visiting the children’s area in the library to check out books for her infant.</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 Continuing Education – Iowa Library Trustee’s Handbook – Chapters 3 –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Mr. Clarke motioned to table this agenda item to July’s meeting; Ms. Thompson seconded, and the motion carried unanimously.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Farmer moved to adjourn the meeting at 9:01 p.m. The motion carried unanimously.</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254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Sarah Smith, Secretary</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06/11/2024</w:t>
            </w:r>
          </w:p>
        </w:tc>
      </w:tr>
    </w:tbl>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432"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character" w:styleId="UnresolvedMention">
    <w:name w:val="Unresolved Mention"/>
    <w:basedOn w:val="DefaultParagraphFont"/>
    <w:uiPriority w:val="99"/>
    <w:semiHidden w:val="1"/>
    <w:unhideWhenUsed w:val="1"/>
    <w:rsid w:val="00A1452D"/>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legis.iowa.gov/legislation/BillBook?ba=HF71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IT3muJ8O4WD+5fAWijUuZ0kLQ==">CgMxLjAyDmguZmJ1YTF5ejhtY3h0MghoLmdqZGd4czgAciExQkdTN2dKaHdCb3U5MVI2dXQzX1NEQUwydzVOc0RtYTU=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2024-06-11T22:23:00Z</dcterms:created>
  <dc:creator>Holly Sealine</dc:creator>
</cp:coreProperties>
</file>