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September 2023</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September 11, 2023</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6:31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Stephanie Farmer, Lauren McMeans, Magdalena Reese, Sarah Smith, and Elizabeth Thompson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Councilwoman Stephanie Riva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agenda; Ms. McMeans seconded, and the motion carried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August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August Meeting Minutes were provided. Ms. Reese motioned to approve the August Meeting Minutes; Ms. Cohen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September 2023. Several new materials were ordered, programming presenter fees, and conference costs were included. Roll call vote followed: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pk7mb8omkrdy"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August Revenue &amp; Expense report was provided to the Board. As of the printing of the agenda packet, 17% of the fiscal year has elapsed and at approximately 23.1% of expenditures. Director Strable noticed Hootsuite, the social media management platform subscription was miscoded to Advertising &amp; Legal Publications at August’s meeting and followed up with city finance to correct. The update is not reflected in this report but will be for October’s meeting. Ms. Thompson inquired about the Insurance Costs line item as it is at 130.3% expended. July’s report reflected a lesser amount than what was paid. Director Strable said she will review with city finance.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Director’s report for September. Prior to the library closure on August 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Norwalk library patrons checked out approximately 9,000 items, or 25% of the collection. Director Strable met with Denny Sharp from FEH Design and others regarding potential sites for a future library. A bilingual storytime is scheduled to begin October 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two Saturdays each month.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Interior Refresh –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library closed on August 14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reopened on September 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with new interior paint, carpeting, and security grille gate installation.</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Personnel Policy – update &amp; review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Two drafts were shared with the board; Draft A provided examples of appropriate work attire and inappropriate work attire, while Draft B was open to interpretation. Following a brief discussion, Mr. Clarke motioned to approve Draft A with added language, “but not limited to” to “Basic guidelines of appropriate items to wear include;” Ms. Cohen seconded, and the motion carried unanimously.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Agenda Items for Future Meetings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Media Policy – update &amp; review</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Rules of Conduct Policy – update &amp; review</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Policy - update &amp; review</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Two directors provided fundraising options which included stickers and t-shirts to sell at the Norwalk Music Fest. There will be a fall book sale beginning November 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Director Strable requested funds from the foundation for staff appreciation, continuing education opportunities, and conferences. The staff appreciation funds were approved and approximately half of the requested funds for continuing education and conferences were approved.</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Mr. Clarke is the new music booster’s president.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7:41 p.m. The motion carried unanimously.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09/12/2023</w:t>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mUzd4RGFvMedC4AtIBLO01CKw==">CgMxLjAyDmgucGs3bWI4b21rcmR5MghoLmdqZGd4czgAciExVGN1M0pxdEM5OHdLbE5tbUlMMWRNZ1hvWDg2UlhSZUM=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2023-09-12T23:42:00Z</dcterms:created>
  <dc:creator>Holly Sealine</dc:creator>
</cp:coreProperties>
</file>